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D320F8E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BA406F">
        <w:rPr>
          <w:b/>
          <w:sz w:val="24"/>
          <w:szCs w:val="24"/>
          <w:lang w:eastAsia="uk-UA"/>
        </w:rPr>
        <w:t>225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0EF2F2DD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BA406F" w:rsidRPr="00BA406F">
        <w:rPr>
          <w:b/>
          <w:bCs/>
          <w:sz w:val="24"/>
          <w:szCs w:val="24"/>
          <w:u w:val="single"/>
        </w:rPr>
        <w:t>Призначення грошових компенсацій особам з інвалідністю на бензин, ремонт і технічне обслуговування автомобілів  та на транспортне обслуговування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63DFF86A" w:rsidR="00CD5B21" w:rsidRPr="000B046B" w:rsidRDefault="00BA406F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5944B18E" w:rsidR="00CD5B21" w:rsidRPr="000B046B" w:rsidRDefault="00BA406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-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5148DF9C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</w:t>
            </w:r>
            <w:r w:rsidR="00BA406F">
              <w:rPr>
                <w:bCs/>
                <w:sz w:val="24"/>
                <w:szCs w:val="24"/>
              </w:rPr>
              <w:t xml:space="preserve">     -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2026-06-05T10:02:00Z</dcterms:created>
  <dcterms:modified xsi:type="dcterms:W3CDTF">2026-06-05T10:02:00Z</dcterms:modified>
</cp:coreProperties>
</file>