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D554235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D2EB5">
        <w:rPr>
          <w:b/>
          <w:sz w:val="24"/>
          <w:szCs w:val="24"/>
          <w:lang w:eastAsia="uk-UA"/>
        </w:rPr>
        <w:t>117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B16F64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D2EB5" w:rsidRPr="005D2EB5">
        <w:rPr>
          <w:b/>
          <w:bCs/>
          <w:sz w:val="24"/>
          <w:szCs w:val="24"/>
          <w:u w:val="single"/>
        </w:rPr>
        <w:t>Видача направлення на проходження обласної, центральної міської у мм. Києві та Севастополі, республіканської в Автономній Рреспубліці Крим медико-соціальної експертної комісії для взяття на облік для забезпечення осіб з інвалідністю та дітей з інвалідністю автомобілем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566B441A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>
              <w:rPr>
                <w:bCs/>
                <w:sz w:val="24"/>
                <w:szCs w:val="24"/>
              </w:rPr>
              <w:t>п</w:t>
            </w:r>
            <w:r w:rsidRPr="005D2EB5">
              <w:rPr>
                <w:bCs/>
                <w:sz w:val="24"/>
                <w:szCs w:val="24"/>
              </w:rPr>
              <w:t xml:space="preserve">огодження до </w:t>
            </w:r>
            <w:r w:rsidR="00000295">
              <w:rPr>
                <w:bCs/>
                <w:sz w:val="24"/>
                <w:szCs w:val="24"/>
              </w:rPr>
              <w:t>УСЗН</w:t>
            </w:r>
            <w:r w:rsidRPr="005D2EB5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00295"/>
    <w:rsid w:val="00022A21"/>
    <w:rsid w:val="000821B9"/>
    <w:rsid w:val="000C4125"/>
    <w:rsid w:val="00104EB7"/>
    <w:rsid w:val="00140397"/>
    <w:rsid w:val="001F58BF"/>
    <w:rsid w:val="001F6FF8"/>
    <w:rsid w:val="002745DE"/>
    <w:rsid w:val="002C2C8B"/>
    <w:rsid w:val="002F4C82"/>
    <w:rsid w:val="00387A04"/>
    <w:rsid w:val="00393454"/>
    <w:rsid w:val="003941D9"/>
    <w:rsid w:val="003F2E98"/>
    <w:rsid w:val="00462422"/>
    <w:rsid w:val="0046243A"/>
    <w:rsid w:val="00486BCF"/>
    <w:rsid w:val="0049784F"/>
    <w:rsid w:val="00531E89"/>
    <w:rsid w:val="00562810"/>
    <w:rsid w:val="00583488"/>
    <w:rsid w:val="005B0906"/>
    <w:rsid w:val="005D2EB5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CE0C29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2026-06-04T13:36:00Z</dcterms:created>
  <dcterms:modified xsi:type="dcterms:W3CDTF">2026-06-09T13:46:00Z</dcterms:modified>
</cp:coreProperties>
</file>