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D09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7BC5C4B5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D185920" w14:textId="77777777" w:rsidR="00A25ED5" w:rsidRPr="00821C84" w:rsidRDefault="00A25ED5" w:rsidP="00A25ED5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5A2006C0" w14:textId="77777777" w:rsidR="00A25ED5" w:rsidRDefault="00A25ED5" w:rsidP="00A25ED5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9AFE3C5" w14:textId="77777777" w:rsidR="00A25ED5" w:rsidRPr="002C2531" w:rsidRDefault="00A25ED5" w:rsidP="00A25ED5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0BC1C540" w14:textId="77777777" w:rsidR="00A25ED5" w:rsidRPr="000B046B" w:rsidRDefault="00A25ED5" w:rsidP="00A25ED5">
      <w:pPr>
        <w:ind w:left="6379"/>
        <w:jc w:val="left"/>
        <w:rPr>
          <w:sz w:val="24"/>
          <w:szCs w:val="24"/>
          <w:lang w:eastAsia="uk-UA"/>
        </w:rPr>
      </w:pPr>
    </w:p>
    <w:p w14:paraId="23B8E312" w14:textId="77777777" w:rsidR="00A25ED5" w:rsidRPr="002C2531" w:rsidRDefault="00A25ED5" w:rsidP="00A25ED5">
      <w:pPr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 xml:space="preserve">ІНФОРМАЦІЙНА КАРТКА </w:t>
      </w:r>
    </w:p>
    <w:p w14:paraId="06EBF392" w14:textId="77777777" w:rsidR="00A25ED5" w:rsidRPr="002C2531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2C2531">
        <w:rPr>
          <w:b/>
          <w:sz w:val="24"/>
          <w:szCs w:val="24"/>
          <w:lang w:eastAsia="uk-UA"/>
        </w:rPr>
        <w:t>АДМІНІСТРАТИВНОЇ ПОСЛУГИ</w:t>
      </w:r>
    </w:p>
    <w:p w14:paraId="24EBED33" w14:textId="2714FE05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2E12EE">
        <w:rPr>
          <w:b/>
          <w:sz w:val="24"/>
          <w:szCs w:val="24"/>
          <w:lang w:val="en-US" w:eastAsia="uk-UA"/>
        </w:rPr>
        <w:t>0</w:t>
      </w:r>
      <w:r w:rsidR="00C871BE">
        <w:rPr>
          <w:b/>
          <w:sz w:val="24"/>
          <w:szCs w:val="24"/>
          <w:lang w:eastAsia="uk-UA"/>
        </w:rPr>
        <w:t>119</w:t>
      </w:r>
      <w:r w:rsidRPr="000B046B">
        <w:rPr>
          <w:b/>
          <w:sz w:val="24"/>
          <w:szCs w:val="24"/>
          <w:lang w:eastAsia="uk-UA"/>
        </w:rPr>
        <w:t>)</w:t>
      </w:r>
    </w:p>
    <w:p w14:paraId="09F78A1C" w14:textId="77777777" w:rsidR="00A25ED5" w:rsidRPr="000B046B" w:rsidRDefault="00A25ED5" w:rsidP="00A25ED5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0FED3B9E" w14:textId="77777777" w:rsidR="00C871BE" w:rsidRDefault="00A25ED5" w:rsidP="00C871BE">
      <w:pPr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C871BE" w:rsidRPr="00C871BE">
        <w:rPr>
          <w:b/>
          <w:sz w:val="24"/>
          <w:szCs w:val="24"/>
          <w:u w:val="single"/>
        </w:rPr>
        <w:t xml:space="preserve">Видача направлення на забезпечення технічними та іншими засобами реабілітації осіб </w:t>
      </w:r>
    </w:p>
    <w:p w14:paraId="58FB2C8C" w14:textId="387C3440" w:rsidR="00A25ED5" w:rsidRDefault="00C871BE" w:rsidP="00C871BE">
      <w:pPr>
        <w:ind w:left="708" w:firstLine="708"/>
        <w:rPr>
          <w:b/>
          <w:sz w:val="24"/>
          <w:szCs w:val="24"/>
          <w:u w:val="single"/>
        </w:rPr>
      </w:pPr>
      <w:r w:rsidRPr="00C871BE">
        <w:rPr>
          <w:b/>
          <w:sz w:val="24"/>
          <w:szCs w:val="24"/>
          <w:u w:val="single"/>
        </w:rPr>
        <w:t>з інвалідністю, дітей з інвалідністю  та інших категорій осіб</w:t>
      </w:r>
      <w:r w:rsidR="00A25ED5" w:rsidRPr="000B046B">
        <w:rPr>
          <w:b/>
          <w:sz w:val="24"/>
          <w:szCs w:val="24"/>
          <w:u w:val="single"/>
        </w:rPr>
        <w:t>»</w:t>
      </w:r>
      <w:r w:rsidR="00A25ED5">
        <w:rPr>
          <w:b/>
          <w:sz w:val="24"/>
          <w:szCs w:val="24"/>
          <w:u w:val="single"/>
        </w:rPr>
        <w:t xml:space="preserve">  </w:t>
      </w:r>
    </w:p>
    <w:p w14:paraId="069DB73E" w14:textId="77777777" w:rsidR="00681C8B" w:rsidRPr="000B046B" w:rsidRDefault="00681C8B" w:rsidP="00681C8B">
      <w:pPr>
        <w:ind w:left="2832" w:firstLine="708"/>
        <w:rPr>
          <w:b/>
          <w:sz w:val="24"/>
          <w:szCs w:val="24"/>
        </w:rPr>
      </w:pPr>
    </w:p>
    <w:p w14:paraId="36E8CC34" w14:textId="77777777" w:rsidR="00A25ED5" w:rsidRPr="000B046B" w:rsidRDefault="00A25ED5" w:rsidP="00A25ED5">
      <w:pPr>
        <w:jc w:val="center"/>
        <w:rPr>
          <w:b/>
          <w:color w:val="000000"/>
          <w:sz w:val="24"/>
          <w:szCs w:val="24"/>
          <w:u w:val="single"/>
          <w:lang w:eastAsia="ru-RU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</w:p>
    <w:p w14:paraId="30C0BEFA" w14:textId="1CF963C6" w:rsidR="00A25ED5" w:rsidRDefault="00A25ED5" w:rsidP="00A25ED5">
      <w:pPr>
        <w:jc w:val="center"/>
        <w:rPr>
          <w:sz w:val="20"/>
          <w:szCs w:val="20"/>
          <w:lang w:eastAsia="uk-UA"/>
        </w:rPr>
      </w:pPr>
      <w:r w:rsidRPr="000B046B">
        <w:rPr>
          <w:sz w:val="20"/>
          <w:szCs w:val="20"/>
          <w:lang w:eastAsia="uk-UA"/>
        </w:rPr>
        <w:t>(найменування суб’єкта надання адміністративної послуги )</w:t>
      </w:r>
    </w:p>
    <w:p w14:paraId="60014E6E" w14:textId="77777777" w:rsidR="00681C8B" w:rsidRPr="000B046B" w:rsidRDefault="00681C8B" w:rsidP="00A25ED5">
      <w:pPr>
        <w:jc w:val="center"/>
        <w:rPr>
          <w:sz w:val="20"/>
          <w:szCs w:val="20"/>
          <w:lang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3"/>
        <w:gridCol w:w="3015"/>
        <w:gridCol w:w="6155"/>
      </w:tblGrid>
      <w:tr w:rsidR="00A25ED5" w:rsidRPr="000B046B" w14:paraId="4A8C3BB2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B5AEE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A25ED5" w:rsidRPr="000B046B" w14:paraId="3FF57D10" w14:textId="77777777" w:rsidTr="00681C8B">
        <w:trPr>
          <w:trHeight w:val="520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DAF06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45B054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4E8CCB" w14:textId="30ACA6FE" w:rsidR="00A25ED5" w:rsidRPr="000B046B" w:rsidRDefault="00A25ED5" w:rsidP="00681C8B">
            <w:pPr>
              <w:shd w:val="clear" w:color="auto" w:fill="FFFFFF"/>
              <w:jc w:val="left"/>
              <w:textAlignment w:val="baseline"/>
              <w:rPr>
                <w:sz w:val="24"/>
                <w:szCs w:val="24"/>
              </w:rPr>
            </w:pPr>
            <w:r w:rsidRPr="000B046B">
              <w:rPr>
                <w:color w:val="000000"/>
                <w:sz w:val="24"/>
                <w:szCs w:val="24"/>
                <w:lang w:eastAsia="ru-RU"/>
              </w:rPr>
              <w:t>буд.7,вул.Незалежності,селищеЛюблинець, Ковельський район, Волинська область,45034</w:t>
            </w:r>
          </w:p>
          <w:p w14:paraId="337C3B23" w14:textId="77777777" w:rsidR="00A25ED5" w:rsidRPr="000B046B" w:rsidRDefault="00A25ED5" w:rsidP="00976F92">
            <w:pPr>
              <w:rPr>
                <w:i/>
                <w:sz w:val="24"/>
                <w:szCs w:val="24"/>
                <w:lang w:eastAsia="uk-UA"/>
              </w:rPr>
            </w:pPr>
          </w:p>
        </w:tc>
      </w:tr>
      <w:tr w:rsidR="00A25ED5" w:rsidRPr="000B046B" w14:paraId="449CF6D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CBB65D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FE8A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2DF4FC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Понеділок, вівторок, середа, четвер з 8.00  до 17.00 год.</w:t>
            </w:r>
          </w:p>
          <w:p w14:paraId="0A1C53F9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>П’ятниця                                              з 8.00  до 16.00 год.</w:t>
            </w:r>
          </w:p>
          <w:p w14:paraId="7BCE24A3" w14:textId="77777777" w:rsidR="00A25ED5" w:rsidRPr="002C2531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2C2531">
              <w:rPr>
                <w:sz w:val="24"/>
                <w:szCs w:val="24"/>
                <w:lang w:eastAsia="uk-UA"/>
              </w:rPr>
              <w:t xml:space="preserve">Без обідньої перерви                                   </w:t>
            </w:r>
          </w:p>
          <w:p w14:paraId="2E606F5C" w14:textId="77777777" w:rsidR="00A25ED5" w:rsidRPr="000B046B" w:rsidRDefault="00A25ED5" w:rsidP="00976F92">
            <w:pPr>
              <w:rPr>
                <w:color w:val="000000"/>
                <w:sz w:val="24"/>
                <w:szCs w:val="24"/>
                <w:lang w:eastAsia="ru-RU"/>
              </w:rPr>
            </w:pPr>
            <w:r w:rsidRPr="002C2531">
              <w:rPr>
                <w:sz w:val="24"/>
                <w:szCs w:val="24"/>
                <w:lang w:eastAsia="uk-UA"/>
              </w:rPr>
              <w:t>Вихідні дні:                                         субота, неділя</w:t>
            </w:r>
          </w:p>
        </w:tc>
      </w:tr>
      <w:tr w:rsidR="00A25ED5" w:rsidRPr="000B046B" w14:paraId="4F413C48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B738F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11AD9C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proofErr w:type="spellStart"/>
            <w:r w:rsidRPr="002C2531">
              <w:rPr>
                <w:sz w:val="24"/>
                <w:szCs w:val="24"/>
                <w:lang w:eastAsia="uk-UA"/>
              </w:rPr>
              <w:t>Телефон,адреса</w:t>
            </w:r>
            <w:proofErr w:type="spellEnd"/>
            <w:r w:rsidRPr="002C2531">
              <w:rPr>
                <w:sz w:val="24"/>
                <w:szCs w:val="24"/>
                <w:lang w:eastAsia="uk-UA"/>
              </w:rPr>
              <w:t xml:space="preserve"> електронної пошти,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3DE489" w14:textId="77777777" w:rsidR="00A25ED5" w:rsidRDefault="00A25ED5" w:rsidP="00976F92">
            <w:pPr>
              <w:rPr>
                <w:iCs/>
                <w:sz w:val="24"/>
                <w:szCs w:val="24"/>
                <w:lang w:eastAsia="uk-UA"/>
              </w:rPr>
            </w:pPr>
            <w:r w:rsidRPr="000B046B">
              <w:rPr>
                <w:iCs/>
                <w:sz w:val="24"/>
                <w:szCs w:val="24"/>
                <w:lang w:eastAsia="uk-UA"/>
              </w:rPr>
              <w:t>0335256754</w:t>
            </w:r>
          </w:p>
          <w:p w14:paraId="32750B5A" w14:textId="77777777" w:rsidR="00A25ED5" w:rsidRPr="000B046B" w:rsidRDefault="00A25ED5" w:rsidP="00976F92">
            <w:pPr>
              <w:rPr>
                <w:rFonts w:ascii="Calibri" w:hAnsi="Calibri"/>
                <w:iCs/>
                <w:sz w:val="24"/>
                <w:szCs w:val="24"/>
                <w:lang w:val="ru-RU" w:eastAsia="uk-UA"/>
              </w:rPr>
            </w:pP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sz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-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ugs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@</w:t>
            </w:r>
            <w:proofErr w:type="spellStart"/>
            <w:r w:rsidRPr="000B046B">
              <w:rPr>
                <w:iCs/>
                <w:sz w:val="24"/>
                <w:szCs w:val="24"/>
                <w:lang w:val="en-US" w:eastAsia="uk-UA"/>
              </w:rPr>
              <w:t>ukr</w:t>
            </w:r>
            <w:proofErr w:type="spellEnd"/>
            <w:r w:rsidRPr="000B046B">
              <w:rPr>
                <w:iCs/>
                <w:sz w:val="24"/>
                <w:szCs w:val="24"/>
                <w:lang w:val="ru-RU" w:eastAsia="uk-UA"/>
              </w:rPr>
              <w:t>.</w:t>
            </w:r>
            <w:r w:rsidRPr="000B046B">
              <w:rPr>
                <w:iCs/>
                <w:sz w:val="24"/>
                <w:szCs w:val="24"/>
                <w:lang w:val="en-US" w:eastAsia="uk-UA"/>
              </w:rPr>
              <w:t>net</w:t>
            </w:r>
          </w:p>
        </w:tc>
      </w:tr>
      <w:tr w:rsidR="00A25ED5" w:rsidRPr="000B046B" w14:paraId="1FCC754A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4B28607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7D0BD8" w:rsidRPr="000B046B" w14:paraId="148FD59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BC5AF3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F9BF32" w14:textId="4297474B" w:rsidR="007D0BD8" w:rsidRPr="00C03CC0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13842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528AD5E" w14:textId="4FD078B8" w:rsidR="007D0BD8" w:rsidRPr="007D0BD8" w:rsidRDefault="00C871BE" w:rsidP="007D0BD8">
            <w:pPr>
              <w:rPr>
                <w:sz w:val="24"/>
                <w:szCs w:val="24"/>
                <w:lang w:eastAsia="uk-UA"/>
              </w:rPr>
            </w:pPr>
            <w:r w:rsidRPr="00C871BE">
              <w:rPr>
                <w:rFonts w:eastAsia="Calibri"/>
                <w:sz w:val="24"/>
                <w:szCs w:val="24"/>
              </w:rPr>
              <w:t>Закони України „Про основи соціальної захищеності осіб з інвалідністю в Україні” від 21.03.1991 № 875-XII, „Про реабілітацію осіб з інвалідністю в Україні” від  06.10.2005 № 2961-IV</w:t>
            </w:r>
          </w:p>
        </w:tc>
      </w:tr>
      <w:tr w:rsidR="007D0BD8" w:rsidRPr="000B046B" w14:paraId="7345661C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014DD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614A226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9D72AE" w14:textId="74256BFF" w:rsidR="007D0BD8" w:rsidRPr="007D0BD8" w:rsidRDefault="00C871BE" w:rsidP="00C871BE">
            <w:pPr>
              <w:rPr>
                <w:sz w:val="24"/>
                <w:szCs w:val="24"/>
                <w:lang w:eastAsia="uk-UA"/>
              </w:rPr>
            </w:pPr>
            <w:r w:rsidRPr="00C871BE">
              <w:rPr>
                <w:sz w:val="24"/>
                <w:szCs w:val="24"/>
                <w:lang w:eastAsia="uk-UA"/>
              </w:rPr>
              <w:t>Постанова Кабінету Міністрів України від 05.04.2012 № 321 „Про затвердження Порядку забезпечення технічними та іншими засобами реабілітації осіб з інвалідністю, дітей з інвалідністю та інших окремих категорій населення і виплати грошової компенсації вартості за самостійно придбані технічні та  інші засоби реабілітації, переліку таких засобів” (далі – Постанова № 321)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64A61E5E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6B2566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86A32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2EEF7B" w14:textId="74AD0A2E" w:rsidR="007D0BD8" w:rsidRPr="00B1672F" w:rsidRDefault="00C871BE" w:rsidP="00C871BE">
            <w:pPr>
              <w:rPr>
                <w:sz w:val="24"/>
                <w:szCs w:val="24"/>
                <w:lang w:val="en-US" w:eastAsia="uk-UA"/>
              </w:rPr>
            </w:pPr>
            <w:r w:rsidRPr="00C871BE">
              <w:rPr>
                <w:sz w:val="24"/>
                <w:szCs w:val="24"/>
                <w:lang w:eastAsia="ru-RU"/>
              </w:rPr>
              <w:t>Наказ Міністерства соціальної політики України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C871BE">
              <w:rPr>
                <w:sz w:val="24"/>
                <w:szCs w:val="24"/>
                <w:lang w:eastAsia="ru-RU"/>
              </w:rPr>
              <w:t>від 28.05.2021  № 278 „Про затвердження форм документів з обліку та забезпечення осіб з інвалідністю, дітей з інвалідністю та інших окремих категорій населення технічними та іншими засобами реабілітації”, зареєстрований в Міністерстві юстиції України 08.07.2021 за № 896/36518 (далі – Наказ № 278)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03FFCEEF" w14:textId="77777777" w:rsidTr="00976F92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E7F070" w14:textId="77777777" w:rsidR="00A25ED5" w:rsidRPr="000B046B" w:rsidRDefault="00A25ED5" w:rsidP="00976F92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0B046B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7D0BD8" w:rsidRPr="000B046B" w14:paraId="501B1E33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B25CED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val="en-US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A3A91E" w14:textId="77777777" w:rsidR="007D0BD8" w:rsidRPr="000B046B" w:rsidRDefault="007D0BD8" w:rsidP="007D0BD8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9BC682" w14:textId="6F628982" w:rsidR="007D0BD8" w:rsidRPr="007E4603" w:rsidRDefault="00C871BE" w:rsidP="00565A40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871BE">
              <w:rPr>
                <w:sz w:val="24"/>
                <w:szCs w:val="24"/>
                <w:lang w:eastAsia="uk-UA"/>
              </w:rPr>
              <w:t>Інвалідність, вік, стан здоров’я, медичні показання,    внаслідок чого особи потребують отримання направлення на забезпечення технічними та іншими засобами реабілітації</w:t>
            </w:r>
            <w:r w:rsidR="005049D0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7D0BD8" w:rsidRPr="000B046B" w14:paraId="549A02B5" w14:textId="77777777" w:rsidTr="007E4603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B62747A" w14:textId="77777777" w:rsidR="007D0BD8" w:rsidRPr="000B046B" w:rsidRDefault="007D0BD8" w:rsidP="007D0BD8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B1B4B7B" w14:textId="77777777" w:rsidR="007D0BD8" w:rsidRPr="000B046B" w:rsidRDefault="007D0BD8" w:rsidP="007D0BD8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7A0134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Заява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засобами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реабілітації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виплату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іншої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законних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представників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заявник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формою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затвердженою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Наказом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№ 278;</w:t>
            </w:r>
          </w:p>
          <w:p w14:paraId="278CE4BC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України,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тимчасове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України,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посвідка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постійне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посвідка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тимчасове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біженця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потребує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додаткового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захисту</w:t>
            </w:r>
            <w:proofErr w:type="spellEnd"/>
            <w:proofErr w:type="gramStart"/>
            <w:r w:rsidRPr="00C871BE">
              <w:rPr>
                <w:sz w:val="24"/>
                <w:szCs w:val="24"/>
                <w:lang w:val="en-US"/>
              </w:rPr>
              <w:t xml:space="preserve">   (</w:t>
            </w:r>
            <w:proofErr w:type="spellStart"/>
            <w:proofErr w:type="gramEnd"/>
            <w:r w:rsidRPr="00C871BE">
              <w:rPr>
                <w:sz w:val="24"/>
                <w:szCs w:val="24"/>
                <w:lang w:val="en-US"/>
              </w:rPr>
              <w:t>далі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‒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посвідчує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свідоцтво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народження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віком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14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років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>);</w:t>
            </w:r>
          </w:p>
          <w:p w14:paraId="632FD227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МСЕК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встановлення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дітей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‒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         ЛКК) ‒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разі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коли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вперше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звертається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технічними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іншими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засобами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реабілітації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виплати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змінюється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група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причина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>;</w:t>
            </w:r>
          </w:p>
          <w:p w14:paraId="3C9E2029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індивідуальна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програма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ЛКК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інших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група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інвалідності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яких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установлена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01.01.2007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безстроково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строк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закінчився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містить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показання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технічними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іншими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засобами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реабілітації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індивідуальна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програма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пред’являється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особами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виплати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компенсації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спеціальні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засоби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орієнтування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спілкування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обміну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інформацією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випадках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передбачених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пунктами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7-9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Постанови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№ 321);</w:t>
            </w:r>
          </w:p>
          <w:p w14:paraId="19449BF7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копія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одного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передбачених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Податковим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кодексом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документів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даними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реєстраційний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номер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картки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платника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податків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паспорт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громадянина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фізичних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через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свої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релігійні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переконання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відмовляються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від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прийняття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реєстраційного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номера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облікової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картки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платника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податків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офіційно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повідомили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це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відповідному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контролюючому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органу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мають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відмітку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паспорті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>);</w:t>
            </w:r>
          </w:p>
          <w:p w14:paraId="782008C0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оригінал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довідки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місця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роботи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служби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навчання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іншої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працюють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служать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навчаються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) ‒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протезами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верхніх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нижніх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кінцівок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ортопедичним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взуттям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активними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кріслами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колісними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>;</w:t>
            </w:r>
          </w:p>
          <w:p w14:paraId="7FFCAC86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документи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визначені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пунктами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7-10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Постанови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№ 321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порушенням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слуху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зору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оригінал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видаткової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накладної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товарного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фіскального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касового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чека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>);</w:t>
            </w:r>
          </w:p>
          <w:p w14:paraId="1B739DC6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посвідчення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підтверджує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право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пільги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>;</w:t>
            </w:r>
          </w:p>
          <w:p w14:paraId="3D78699B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рішення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ВЛК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чи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ЛКК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учасників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антитерористичної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яким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встановлено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>);</w:t>
            </w:r>
          </w:p>
          <w:p w14:paraId="4F782D62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довідку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органу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внутрішніх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справ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притягнення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кримінальної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відповідальності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відсутність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наявність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судимості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обмежень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передбачених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кримінально-процесуальним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законодавством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учасників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антитерористичної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числа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мирних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України,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проживали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районі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проведення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антитерористичної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районі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здійснення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заходів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національної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безпеки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оборони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відсічі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стримування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збройної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агресії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Російської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Федерації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lastRenderedPageBreak/>
              <w:t>Донецькій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Луганській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областях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яким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встановлено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>);</w:t>
            </w:r>
          </w:p>
          <w:p w14:paraId="5071ECC8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висновок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експерта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результатами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судово-медичної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експертизи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учасників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антитерористичної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числа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мирних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України,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проживали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районі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проведення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антитерористичної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районі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здійснення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заходів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національної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безпеки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оборони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відсічі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стримування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збройної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агресії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Російської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Федерації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Донецькій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Луганській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областях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яким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встановлено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>);</w:t>
            </w:r>
          </w:p>
          <w:p w14:paraId="3D9588E0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документ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містить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інформацію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місце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реєстрації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перебування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безпосередньо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районі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проведення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антитерористичної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районі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здійснення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заходів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національної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безпеки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оборони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відсічі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стримування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збройної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агресії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Російської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Федерації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Донецькій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Луганській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областях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виданий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уповноваженим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органом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місцем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проживання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такої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учасників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антитерористичної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числа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мирних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громадян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проживали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районах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проведення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антитерористичної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районах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здійснення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заходів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національної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безпеки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оборони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відсічі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стримування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збройної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агресії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Російської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Федерації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Донецькій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Луганській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областях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яким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встановлено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>);</w:t>
            </w:r>
          </w:p>
          <w:p w14:paraId="2CB0D982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витяг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наказу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командира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військової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частини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начальника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територіального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підрозділу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або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довідку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обставини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травми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поранення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контузії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каліцтва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видану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командиром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військової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частини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начальником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територіального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підрозділу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),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відомостями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участь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антитерористичній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перебуваючи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безпосередньо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районі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проведення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антитерористичної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період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її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проведення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здійсненні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заходів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національної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безпеки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оборони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відсічі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стримування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збройної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агресії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Російської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Федерації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Донецькій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Луганській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областях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перебуваючи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безпосередньо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районі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період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здійснення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зазначених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заходів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осіб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визначених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абзацом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першим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пункту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19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частини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першої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статті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6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Закону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України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статус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ветеранів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війни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гарантії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їх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соціального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захисту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”,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яким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встановлено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>);</w:t>
            </w:r>
          </w:p>
          <w:p w14:paraId="17952BCB" w14:textId="77777777" w:rsidR="00C871BE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довідку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місця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роботи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для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працівників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підприємств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установ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організацій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залучалися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брали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безпосередню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участь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забезпеченні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проведення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антитерористичної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перебуваючи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безпосередньо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районі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проведення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антитерористичної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операції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період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її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проведення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забезпеченні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здійснення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заходів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із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забезпечення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національної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безпеки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і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оборони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відсічі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стримування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збройної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агресії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Російської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Федерації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Донецькій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Луганській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областях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перебуваючи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безпосередньо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районі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період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здійснення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зазначених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заходів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яким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не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встановлено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). </w:t>
            </w:r>
          </w:p>
          <w:p w14:paraId="6BA28375" w14:textId="601BD710" w:rsidR="007D0BD8" w:rsidRPr="00C871BE" w:rsidRDefault="00C871BE" w:rsidP="00C871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proofErr w:type="spellStart"/>
            <w:r w:rsidRPr="00C871BE">
              <w:rPr>
                <w:sz w:val="24"/>
                <w:szCs w:val="24"/>
                <w:lang w:val="en-US"/>
              </w:rPr>
              <w:t>Законний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представник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дитини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з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інвалідністю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іншої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подає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документи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що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посвідчують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його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особу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підтверджують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її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спеціальний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статус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та</w:t>
            </w:r>
            <w:proofErr w:type="spellEnd"/>
            <w:r w:rsidRPr="00C871BE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871BE">
              <w:rPr>
                <w:sz w:val="24"/>
                <w:szCs w:val="24"/>
                <w:lang w:val="en-US"/>
              </w:rPr>
              <w:t>повноваження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A25ED5" w:rsidRPr="000B046B" w14:paraId="4D4DB539" w14:textId="77777777" w:rsidTr="00DC5D54">
        <w:trPr>
          <w:trHeight w:val="59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366C67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D8FF4E" w14:textId="77777777" w:rsidR="00A25ED5" w:rsidRPr="000B046B" w:rsidRDefault="00A25ED5" w:rsidP="00976F92">
            <w:pPr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C316C7" w14:textId="17238486" w:rsidR="00A25ED5" w:rsidRPr="000B046B" w:rsidRDefault="00C871BE" w:rsidP="005667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871BE">
              <w:rPr>
                <w:sz w:val="24"/>
                <w:szCs w:val="24"/>
                <w:lang w:eastAsia="uk-UA"/>
              </w:rPr>
              <w:t>Заява та документи, необхідні для видачі направлення на забезпечення технічними та іншими засобами реабілітації осіб з інвалідністю та дітей з інвалідністю (далі – направлення), подаються заявником суб’єкту надання адміністративної послуги, через структурні підрозділи з питань соціального захисту населення районних, районних у мм. Києві та Севастополі держадміністрацій, виконавчих органів сільських, селищних, міських, районних у містах (у разі їх утворення) рад (далі - органи соціального захисту населення) або до центрів надання адміністративних послуг (далі – ЦНАП), або через електронний кабінет особи чи Єдиний державний веб-портал електронних послуг. У разі подання заяви через електронний кабінет особи чи Єдиний державний веб-портал електронних послуг застосовується електронний підпис, що базується на кваліфікованому сертифікаті відповідно до вимог Закону України „Про електронні довірчі послуги” особи з інвалідністю, іншої особи або їх законного представника та законного представника дитини з інвалідністю</w:t>
            </w:r>
            <w:r w:rsidR="00FA493E" w:rsidRPr="000A6781">
              <w:rPr>
                <w:sz w:val="24"/>
                <w:szCs w:val="24"/>
                <w:lang w:eastAsia="uk-UA"/>
              </w:rPr>
              <w:t>.</w:t>
            </w:r>
          </w:p>
        </w:tc>
      </w:tr>
      <w:tr w:rsidR="00A25ED5" w:rsidRPr="000B046B" w14:paraId="1E0EF40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92E18F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805342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06E62A" w14:textId="77777777" w:rsidR="00A25ED5" w:rsidRPr="000B046B" w:rsidRDefault="00A25ED5" w:rsidP="00976F9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0B046B">
              <w:rPr>
                <w:sz w:val="24"/>
                <w:szCs w:val="24"/>
                <w:lang w:eastAsia="ru-RU"/>
              </w:rPr>
              <w:t>безоплатно</w:t>
            </w:r>
          </w:p>
          <w:p w14:paraId="59B8B545" w14:textId="77777777" w:rsidR="00A25ED5" w:rsidRPr="000B046B" w:rsidRDefault="00A25ED5" w:rsidP="00976F9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A25ED5" w:rsidRPr="000B046B" w14:paraId="5873B36F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B39F55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F458F9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B9C4C0" w14:textId="7FE993D5" w:rsidR="00C871BE" w:rsidRPr="00C871BE" w:rsidRDefault="00C871BE" w:rsidP="00C871B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C871BE">
              <w:rPr>
                <w:sz w:val="24"/>
                <w:szCs w:val="24"/>
              </w:rPr>
              <w:t xml:space="preserve">Територіальні відділення Фонду соціального захисту осіб з інвалідністю протягом трьох робочих днів з дня подання всіх необхідних документів, передбачених Постановою </w:t>
            </w:r>
          </w:p>
          <w:p w14:paraId="3805FACF" w14:textId="3ED95C9F" w:rsidR="00A25ED5" w:rsidRPr="000B046B" w:rsidRDefault="00C871BE" w:rsidP="00C871BE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C871BE">
              <w:rPr>
                <w:sz w:val="24"/>
                <w:szCs w:val="24"/>
              </w:rPr>
              <w:t>№ 321, формують в електронній особовій картці заявника в банку даних  електронне направлення на забезпечення засобами реабілітації (виплату компенсації) заявника</w:t>
            </w:r>
            <w:r>
              <w:rPr>
                <w:sz w:val="24"/>
                <w:szCs w:val="24"/>
              </w:rPr>
              <w:t>.</w:t>
            </w:r>
          </w:p>
        </w:tc>
      </w:tr>
      <w:tr w:rsidR="00A25ED5" w:rsidRPr="000B046B" w14:paraId="500566C4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B79A2A" w14:textId="77777777" w:rsidR="00A25ED5" w:rsidRPr="000B046B" w:rsidRDefault="00A25ED5" w:rsidP="00976F92">
            <w:pPr>
              <w:jc w:val="center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A22C3A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5795CF9" w14:textId="77777777" w:rsidR="00C871BE" w:rsidRPr="00C871BE" w:rsidRDefault="00C871BE" w:rsidP="00C871BE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C871BE">
              <w:rPr>
                <w:rFonts w:eastAsia="Calibri"/>
                <w:sz w:val="24"/>
                <w:szCs w:val="24"/>
              </w:rPr>
              <w:t xml:space="preserve">Подання не у повному обсязі встановленого переліку документів; </w:t>
            </w:r>
          </w:p>
          <w:p w14:paraId="3BF07B79" w14:textId="77777777" w:rsidR="00C871BE" w:rsidRPr="00C871BE" w:rsidRDefault="00C871BE" w:rsidP="00C871BE">
            <w:pPr>
              <w:spacing w:line="259" w:lineRule="auto"/>
              <w:rPr>
                <w:rFonts w:eastAsia="Calibri"/>
                <w:sz w:val="24"/>
                <w:szCs w:val="24"/>
              </w:rPr>
            </w:pPr>
            <w:r w:rsidRPr="00C871BE">
              <w:rPr>
                <w:rFonts w:eastAsia="Calibri"/>
                <w:sz w:val="24"/>
                <w:szCs w:val="24"/>
              </w:rPr>
              <w:t>відмова отримувача від даної послуги;</w:t>
            </w:r>
          </w:p>
          <w:p w14:paraId="23C1772B" w14:textId="6CEC95B0" w:rsidR="00A25ED5" w:rsidRPr="00961C3B" w:rsidRDefault="00C871BE" w:rsidP="00C871BE">
            <w:pPr>
              <w:spacing w:line="259" w:lineRule="auto"/>
              <w:rPr>
                <w:sz w:val="24"/>
                <w:szCs w:val="24"/>
                <w:lang w:eastAsia="ru-RU"/>
              </w:rPr>
            </w:pPr>
            <w:r w:rsidRPr="00C871BE">
              <w:rPr>
                <w:rFonts w:eastAsia="Calibri"/>
                <w:sz w:val="24"/>
                <w:szCs w:val="24"/>
              </w:rPr>
              <w:t>смерть отримувача даної послуги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25ED5" w:rsidRPr="000B046B" w14:paraId="53F271B0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44453E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val="en-US"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</w:t>
            </w:r>
            <w:r w:rsidRPr="000B046B">
              <w:rPr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2145C6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7E8649" w14:textId="734F16B9" w:rsidR="00A25ED5" w:rsidRPr="000B046B" w:rsidRDefault="00C871BE" w:rsidP="00976F9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 w:rsidRPr="00C871BE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Формується електронне направлення в електронній особовій картці заявника в банку даних</w:t>
            </w:r>
            <w:r w:rsidR="000A6781">
              <w:rPr>
                <w:b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A25ED5" w:rsidRPr="000B046B" w14:paraId="2433AF81" w14:textId="77777777" w:rsidTr="00976F92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005E9B" w14:textId="77777777" w:rsidR="00A25ED5" w:rsidRPr="000B046B" w:rsidRDefault="00A25ED5" w:rsidP="00976F92">
            <w:pPr>
              <w:jc w:val="left"/>
              <w:rPr>
                <w:sz w:val="24"/>
                <w:szCs w:val="24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43A28D8" w14:textId="77777777" w:rsidR="00A25ED5" w:rsidRPr="000B046B" w:rsidRDefault="00A25ED5" w:rsidP="00043DAB">
            <w:pPr>
              <w:jc w:val="left"/>
              <w:rPr>
                <w:sz w:val="24"/>
                <w:szCs w:val="24"/>
                <w:highlight w:val="yellow"/>
                <w:lang w:eastAsia="uk-UA"/>
              </w:rPr>
            </w:pPr>
            <w:r w:rsidRPr="000B046B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34AB5F7" w14:textId="5714B609" w:rsidR="00A25ED5" w:rsidRPr="002E12EE" w:rsidRDefault="00C871BE" w:rsidP="0066385B">
            <w:pPr>
              <w:rPr>
                <w:sz w:val="24"/>
                <w:szCs w:val="24"/>
                <w:lang w:val="en-US" w:eastAsia="uk-UA"/>
              </w:rPr>
            </w:pPr>
            <w:r w:rsidRPr="00A458A1">
              <w:rPr>
                <w:sz w:val="24"/>
                <w:szCs w:val="24"/>
                <w:shd w:val="clear" w:color="auto" w:fill="FFFFFF"/>
              </w:rPr>
              <w:t>Після формування електронного направлення територіальне відділення Фонду соціального захисту осіб з інвалідністю інформує протягом трьох робочих днів через орган соціального захисту населення, ЦНАП, засоби телекомунікаційного зв’язку (зазначені у заяві про забезпечення засобом реабілітації (виплату компенсації) або через електронний кабінет особи, або через Єдиний державний веб-портал електронних послуг, про це заявника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1358EC9A" w14:textId="77777777" w:rsidR="00BB2A44" w:rsidRDefault="00BB2A44" w:rsidP="00681C8B"/>
    <w:sectPr w:rsidR="00BB2A44" w:rsidSect="00681C8B">
      <w:pgSz w:w="11906" w:h="16838"/>
      <w:pgMar w:top="850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13842"/>
    <w:rsid w:val="00022A21"/>
    <w:rsid w:val="00043DAB"/>
    <w:rsid w:val="000518D4"/>
    <w:rsid w:val="000A6781"/>
    <w:rsid w:val="000C4125"/>
    <w:rsid w:val="00104EB7"/>
    <w:rsid w:val="001C6D2C"/>
    <w:rsid w:val="002745DE"/>
    <w:rsid w:val="002E12EE"/>
    <w:rsid w:val="00307F95"/>
    <w:rsid w:val="00387A04"/>
    <w:rsid w:val="003B0457"/>
    <w:rsid w:val="003F2E98"/>
    <w:rsid w:val="00422041"/>
    <w:rsid w:val="00437F6B"/>
    <w:rsid w:val="00462422"/>
    <w:rsid w:val="0046243A"/>
    <w:rsid w:val="0049784F"/>
    <w:rsid w:val="004A20D3"/>
    <w:rsid w:val="00500550"/>
    <w:rsid w:val="005049D0"/>
    <w:rsid w:val="00552825"/>
    <w:rsid w:val="00562810"/>
    <w:rsid w:val="00565A40"/>
    <w:rsid w:val="005667EF"/>
    <w:rsid w:val="005B0906"/>
    <w:rsid w:val="005D4B8D"/>
    <w:rsid w:val="00600971"/>
    <w:rsid w:val="006022C8"/>
    <w:rsid w:val="00642F58"/>
    <w:rsid w:val="0066385B"/>
    <w:rsid w:val="00681C8B"/>
    <w:rsid w:val="006A0D09"/>
    <w:rsid w:val="006A40D1"/>
    <w:rsid w:val="006A45AD"/>
    <w:rsid w:val="006B0E94"/>
    <w:rsid w:val="006B14B5"/>
    <w:rsid w:val="006C2C8E"/>
    <w:rsid w:val="0075419D"/>
    <w:rsid w:val="0076660F"/>
    <w:rsid w:val="00767512"/>
    <w:rsid w:val="007864C6"/>
    <w:rsid w:val="007D0BD8"/>
    <w:rsid w:val="007E4603"/>
    <w:rsid w:val="007F149F"/>
    <w:rsid w:val="00822D40"/>
    <w:rsid w:val="0087432F"/>
    <w:rsid w:val="00884E2E"/>
    <w:rsid w:val="008B49CE"/>
    <w:rsid w:val="00961C3B"/>
    <w:rsid w:val="009C2D14"/>
    <w:rsid w:val="009E7F2E"/>
    <w:rsid w:val="00A01548"/>
    <w:rsid w:val="00A016CD"/>
    <w:rsid w:val="00A25ED5"/>
    <w:rsid w:val="00AF4B16"/>
    <w:rsid w:val="00B0353D"/>
    <w:rsid w:val="00B1672F"/>
    <w:rsid w:val="00B618EB"/>
    <w:rsid w:val="00B63F5A"/>
    <w:rsid w:val="00BB2A44"/>
    <w:rsid w:val="00BF1A5F"/>
    <w:rsid w:val="00C03CC0"/>
    <w:rsid w:val="00C12E18"/>
    <w:rsid w:val="00C44900"/>
    <w:rsid w:val="00C84008"/>
    <w:rsid w:val="00C871BE"/>
    <w:rsid w:val="00CA5CF0"/>
    <w:rsid w:val="00D13002"/>
    <w:rsid w:val="00D17B40"/>
    <w:rsid w:val="00D86263"/>
    <w:rsid w:val="00D9694F"/>
    <w:rsid w:val="00DC284C"/>
    <w:rsid w:val="00DC5D54"/>
    <w:rsid w:val="00E47E6D"/>
    <w:rsid w:val="00E82121"/>
    <w:rsid w:val="00E95CF1"/>
    <w:rsid w:val="00EC39B5"/>
    <w:rsid w:val="00EC41CC"/>
    <w:rsid w:val="00F8592C"/>
    <w:rsid w:val="00FA1079"/>
    <w:rsid w:val="00FA493E"/>
    <w:rsid w:val="00FC4FCB"/>
    <w:rsid w:val="00FD5F6C"/>
    <w:rsid w:val="00FD7980"/>
    <w:rsid w:val="00FE217E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D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rsid w:val="007D0BD8"/>
    <w:rPr>
      <w:rFonts w:ascii="Courier New" w:eastAsia="Times New Roman" w:hAnsi="Courier New" w:cs="Courier New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6505</Words>
  <Characters>3708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2026-06-05T09:51:00Z</dcterms:created>
  <dcterms:modified xsi:type="dcterms:W3CDTF">2026-06-05T09:59:00Z</dcterms:modified>
</cp:coreProperties>
</file>